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30BEE" w:rsidP="00F30BE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30BEE">
        <w:rPr>
          <w:rFonts w:ascii="Times New Roman" w:hAnsi="Times New Roman" w:cs="Times New Roman"/>
          <w:sz w:val="28"/>
          <w:szCs w:val="28"/>
          <w:u w:val="single"/>
        </w:rPr>
        <w:t>Тема: Севооборот</w:t>
      </w:r>
    </w:p>
    <w:p w:rsidR="00F30BEE" w:rsidRPr="00F30BEE" w:rsidRDefault="00F30BEE" w:rsidP="00F30BE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Задание: ознакомиться с темой, записать краткий конспект</w:t>
      </w:r>
    </w:p>
    <w:p w:rsidR="00F30BEE" w:rsidRPr="00F30BEE" w:rsidRDefault="00F30BEE" w:rsidP="00F30BE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30B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Севооборотом называется научно обоснованное чередование сельскохозяйственных культур и пара во времени и пространстве или только во времени. Севооборот является одним из основных звеньев системы земледелия и представляет основу для проведения всех агрономических мероприятий.</w:t>
      </w:r>
    </w:p>
    <w:p w:rsidR="00F30BEE" w:rsidRPr="00F30BEE" w:rsidRDefault="00F30BEE" w:rsidP="00F30BE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0B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Севооборот способствует пополнению и лучшему использованию питательных веществ почвы и удобрению, улучшению и поддержанию благоприятных физических и биологических свойств почвы, защите ее от водной и ветровой эрозии, предупреждению распространения сорняков, болезней и вредителей сельскохозяйственных культур, снижению </w:t>
      </w:r>
      <w:proofErr w:type="spellStart"/>
      <w:r w:rsidRPr="00F30B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пестицидной</w:t>
      </w:r>
      <w:proofErr w:type="spellEnd"/>
      <w:r w:rsidRPr="00F30B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нагрузки на почву, растения и улучшению экологического состояния среды обитания, получению высококачественной продукции.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b/>
          <w:color w:val="000000"/>
          <w:sz w:val="28"/>
          <w:szCs w:val="28"/>
        </w:rPr>
        <w:t>ТИПЫ СЕВООБОРОТА</w:t>
      </w:r>
      <w:r w:rsidRPr="00F30BEE">
        <w:rPr>
          <w:color w:val="000000"/>
          <w:sz w:val="28"/>
          <w:szCs w:val="28"/>
        </w:rPr>
        <w:t>: полевой, кормовой и специальный.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273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t xml:space="preserve">Название типа дается по виду выращиваемой продукции. </w:t>
      </w:r>
      <w:proofErr w:type="gramStart"/>
      <w:r w:rsidRPr="00F30BEE">
        <w:rPr>
          <w:color w:val="000000"/>
          <w:sz w:val="28"/>
          <w:szCs w:val="28"/>
        </w:rPr>
        <w:t>Например</w:t>
      </w:r>
      <w:proofErr w:type="gramEnd"/>
      <w:r w:rsidRPr="00F30BEE">
        <w:rPr>
          <w:color w:val="000000"/>
          <w:sz w:val="28"/>
          <w:szCs w:val="28"/>
        </w:rPr>
        <w:t xml:space="preserve"> полевой тип имеет в своей структуре 50% и более полевых культур, кормовой тип - 50% и более кормовых пропашных культур, а специальный тип характеризуется наличием в структуре культур, имеющих определенное назначение (предотвращение смыва почвы на склоновых участках) или особую технологию возделывания.</w:t>
      </w:r>
    </w:p>
    <w:p w:rsid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t>По соотношению сельскохозяйственных культур и паров типы севооборотов </w:t>
      </w:r>
      <w:r w:rsidRPr="00F30BEE">
        <w:rPr>
          <w:rStyle w:val="a5"/>
          <w:color w:val="000000"/>
          <w:sz w:val="28"/>
          <w:szCs w:val="28"/>
        </w:rPr>
        <w:t>подразделяют на виды</w:t>
      </w:r>
      <w:r w:rsidRPr="00F30BEE">
        <w:rPr>
          <w:color w:val="000000"/>
          <w:sz w:val="28"/>
          <w:szCs w:val="28"/>
        </w:rPr>
        <w:t xml:space="preserve">: </w:t>
      </w:r>
    </w:p>
    <w:p w:rsid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30BEE">
        <w:rPr>
          <w:color w:val="000000"/>
          <w:sz w:val="28"/>
          <w:szCs w:val="28"/>
        </w:rPr>
        <w:t>зерно-паровые</w:t>
      </w:r>
      <w:proofErr w:type="spellEnd"/>
      <w:proofErr w:type="gramEnd"/>
      <w:r w:rsidRPr="00F30BEE">
        <w:rPr>
          <w:color w:val="000000"/>
          <w:sz w:val="28"/>
          <w:szCs w:val="28"/>
        </w:rPr>
        <w:t xml:space="preserve">, </w:t>
      </w:r>
    </w:p>
    <w:p w:rsid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30BEE">
        <w:rPr>
          <w:color w:val="000000"/>
          <w:sz w:val="28"/>
          <w:szCs w:val="28"/>
        </w:rPr>
        <w:t>зерно-паропропашные</w:t>
      </w:r>
      <w:proofErr w:type="spellEnd"/>
      <w:proofErr w:type="gramEnd"/>
      <w:r w:rsidRPr="00F30BEE">
        <w:rPr>
          <w:color w:val="000000"/>
          <w:sz w:val="28"/>
          <w:szCs w:val="28"/>
        </w:rPr>
        <w:t xml:space="preserve">, </w:t>
      </w:r>
    </w:p>
    <w:p w:rsid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30BEE">
        <w:rPr>
          <w:color w:val="000000"/>
          <w:sz w:val="28"/>
          <w:szCs w:val="28"/>
        </w:rPr>
        <w:t>зерно-травяные</w:t>
      </w:r>
      <w:proofErr w:type="spellEnd"/>
      <w:proofErr w:type="gramEnd"/>
      <w:r w:rsidRPr="00F30BEE">
        <w:rPr>
          <w:color w:val="000000"/>
          <w:sz w:val="28"/>
          <w:szCs w:val="28"/>
        </w:rPr>
        <w:t xml:space="preserve">, </w:t>
      </w:r>
    </w:p>
    <w:p w:rsid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30BEE">
        <w:rPr>
          <w:color w:val="000000"/>
          <w:sz w:val="28"/>
          <w:szCs w:val="28"/>
        </w:rPr>
        <w:t>зерно-пропашные</w:t>
      </w:r>
      <w:proofErr w:type="spellEnd"/>
      <w:proofErr w:type="gramEnd"/>
      <w:r w:rsidRPr="00F30BEE">
        <w:rPr>
          <w:color w:val="000000"/>
          <w:sz w:val="28"/>
          <w:szCs w:val="28"/>
        </w:rPr>
        <w:t xml:space="preserve">, </w:t>
      </w:r>
    </w:p>
    <w:p w:rsid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t xml:space="preserve">травопольные, </w:t>
      </w:r>
    </w:p>
    <w:p w:rsid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t xml:space="preserve">травяно-пропашные, </w:t>
      </w:r>
    </w:p>
    <w:p w:rsid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30BEE">
        <w:rPr>
          <w:color w:val="000000"/>
          <w:sz w:val="28"/>
          <w:szCs w:val="28"/>
        </w:rPr>
        <w:t>сидеральные</w:t>
      </w:r>
      <w:proofErr w:type="spellEnd"/>
      <w:r w:rsidRPr="00F30BEE">
        <w:rPr>
          <w:color w:val="000000"/>
          <w:sz w:val="28"/>
          <w:szCs w:val="28"/>
        </w:rPr>
        <w:t xml:space="preserve">, </w:t>
      </w:r>
    </w:p>
    <w:p w:rsid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30BEE">
        <w:rPr>
          <w:color w:val="000000"/>
          <w:sz w:val="28"/>
          <w:szCs w:val="28"/>
        </w:rPr>
        <w:t>зерно-травянопропашные</w:t>
      </w:r>
      <w:proofErr w:type="spellEnd"/>
      <w:r w:rsidRPr="00F30BEE">
        <w:rPr>
          <w:color w:val="000000"/>
          <w:sz w:val="28"/>
          <w:szCs w:val="28"/>
        </w:rPr>
        <w:t xml:space="preserve"> (</w:t>
      </w:r>
      <w:proofErr w:type="spellStart"/>
      <w:r w:rsidRPr="00F30BEE">
        <w:rPr>
          <w:color w:val="000000"/>
          <w:sz w:val="28"/>
          <w:szCs w:val="28"/>
        </w:rPr>
        <w:t>плодосеменные</w:t>
      </w:r>
      <w:proofErr w:type="spellEnd"/>
      <w:r w:rsidRPr="00F30BEE">
        <w:rPr>
          <w:color w:val="000000"/>
          <w:sz w:val="28"/>
          <w:szCs w:val="28"/>
        </w:rPr>
        <w:t xml:space="preserve">), 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t>пропашные.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t>Перечень групп культур в порядке их чередования в севообороте </w:t>
      </w:r>
      <w:hyperlink r:id="rId4" w:tgtFrame="_blank" w:history="1">
        <w:r w:rsidRPr="00F30BEE">
          <w:rPr>
            <w:rStyle w:val="a4"/>
            <w:color w:val="0075FF"/>
            <w:sz w:val="28"/>
            <w:szCs w:val="28"/>
            <w:u w:val="none"/>
          </w:rPr>
          <w:t>называется схемой севооборота</w:t>
        </w:r>
      </w:hyperlink>
      <w:r w:rsidRPr="00F30BEE">
        <w:rPr>
          <w:color w:val="000000"/>
          <w:sz w:val="28"/>
          <w:szCs w:val="28"/>
        </w:rPr>
        <w:t>. Период, в течение которого культуры проходят через каждое поле в последовательности, установленной схемой, называется </w:t>
      </w:r>
      <w:r w:rsidRPr="00F30BEE">
        <w:rPr>
          <w:rStyle w:val="a5"/>
          <w:color w:val="000000"/>
          <w:sz w:val="28"/>
          <w:szCs w:val="28"/>
        </w:rPr>
        <w:t>ротацией севооборота</w:t>
      </w:r>
      <w:r w:rsidRPr="00F30BEE">
        <w:rPr>
          <w:color w:val="000000"/>
          <w:sz w:val="28"/>
          <w:szCs w:val="28"/>
        </w:rPr>
        <w:t>. Ее обычно изображают в виде перечня культур в порядке последовательной их смены во времени на одном и том же поле.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К</w:t>
      </w:r>
      <w:r w:rsidRPr="00F30BEE">
        <w:rPr>
          <w:rStyle w:val="a5"/>
          <w:color w:val="000000"/>
          <w:sz w:val="28"/>
          <w:szCs w:val="28"/>
        </w:rPr>
        <w:t>ультуры в севообороте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lastRenderedPageBreak/>
        <w:t>По степени влияния на свойства почвы и урожаи основных культур предшественники </w:t>
      </w:r>
      <w:hyperlink r:id="rId5" w:tgtFrame="_blank" w:history="1">
        <w:r w:rsidRPr="00F30BEE">
          <w:rPr>
            <w:rStyle w:val="a4"/>
            <w:color w:val="0075FF"/>
            <w:sz w:val="28"/>
            <w:szCs w:val="28"/>
          </w:rPr>
          <w:t>объединяются в несколько групп</w:t>
        </w:r>
      </w:hyperlink>
      <w:r w:rsidRPr="00F30BEE">
        <w:rPr>
          <w:color w:val="000000"/>
          <w:sz w:val="28"/>
          <w:szCs w:val="28"/>
        </w:rPr>
        <w:t>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rStyle w:val="a5"/>
          <w:color w:val="000000"/>
          <w:sz w:val="28"/>
          <w:szCs w:val="28"/>
        </w:rPr>
        <w:t>Многолетние бобовые травы</w:t>
      </w:r>
      <w:r w:rsidRPr="00F30BEE">
        <w:rPr>
          <w:color w:val="000000"/>
          <w:sz w:val="28"/>
          <w:szCs w:val="28"/>
        </w:rPr>
        <w:t> (клевер, люцерна, эспарцет и др.) и их смеси со злаковыми травами, обладающие способностью повышать почвенное плодородие, при хорошем развитии (в районах достаточного увлажнения и при орошении) служат отличным предшественником для всех сельскохозяйственных культур (</w:t>
      </w:r>
      <w:proofErr w:type="gramStart"/>
      <w:r w:rsidRPr="00F30BEE">
        <w:rPr>
          <w:color w:val="000000"/>
          <w:sz w:val="28"/>
          <w:szCs w:val="28"/>
        </w:rPr>
        <w:t>кроме</w:t>
      </w:r>
      <w:proofErr w:type="gramEnd"/>
      <w:r w:rsidRPr="00F30BEE">
        <w:rPr>
          <w:color w:val="000000"/>
          <w:sz w:val="28"/>
          <w:szCs w:val="28"/>
        </w:rPr>
        <w:t xml:space="preserve"> бобовых); используются в первую очередь под наиболее ценные и продуктивные культуры – пшеницу, хлопчатник, лен, просо, кукурузу, картофель и др. Положительное последействие 3-5 лет; при слабом развитии ценность их как предшественника снижается.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rStyle w:val="a5"/>
          <w:color w:val="000000"/>
          <w:sz w:val="28"/>
          <w:szCs w:val="28"/>
        </w:rPr>
        <w:t>Зернобобовые культуры</w:t>
      </w:r>
      <w:r w:rsidRPr="00F30BEE">
        <w:rPr>
          <w:color w:val="000000"/>
          <w:sz w:val="28"/>
          <w:szCs w:val="28"/>
        </w:rPr>
        <w:t> (люпин, вика, горох, пут, чина и др.) при хорошем развитии затеняют почву, улучшают ее структуру и заглушают сорняки; хороший предшественник для всех яровых и озимых культур (кроме растений семейства бобовых). Положительное последействие - не менее 2 лет.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rStyle w:val="a5"/>
          <w:color w:val="000000"/>
          <w:sz w:val="28"/>
          <w:szCs w:val="28"/>
        </w:rPr>
        <w:t>Пропашные культуры</w:t>
      </w:r>
      <w:r w:rsidRPr="00F30BEE">
        <w:rPr>
          <w:color w:val="000000"/>
          <w:sz w:val="28"/>
          <w:szCs w:val="28"/>
        </w:rPr>
        <w:t> (картофель, свекла, кукуруза, подсолнечник, хлопчатник и др.) разнообразны по биологическим особенностям. Специфика их возделывания (многократные междурядные обработки, очищающие почву от сорняков и способствующие сохранению почвенной влаги) обусловливает повышение жизнедеятельности полезной микрофлоры в почве, улучшение питания растений. Пропашные – хороший предшественник для всех яровых зерновых культур, льна и конопли.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273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t>Кукуруза и кормовые бобы на силос, ранние сорта картофеля – неплохие предшественники для озимых культур. Положительное последействие - два года.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rStyle w:val="a5"/>
          <w:color w:val="000000"/>
          <w:sz w:val="28"/>
          <w:szCs w:val="28"/>
        </w:rPr>
        <w:t>Озимые зерновые культуры</w:t>
      </w:r>
      <w:r w:rsidRPr="00F30BEE">
        <w:rPr>
          <w:color w:val="000000"/>
          <w:sz w:val="28"/>
          <w:szCs w:val="28"/>
        </w:rPr>
        <w:t> (рожь, пшеница, ячмень) хорошо кустятся, затеняют почву и угнетают многие сорные растения. Удобренные озимые – хороший предшественник для пропашных культур, многолетних трав, яровых зерновых, зернобобовых, льна и т. д.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rStyle w:val="a5"/>
          <w:color w:val="000000"/>
          <w:sz w:val="28"/>
          <w:szCs w:val="28"/>
        </w:rPr>
        <w:t>Технические прядильные культуры сплошного сева</w:t>
      </w:r>
      <w:r w:rsidRPr="00F30BEE">
        <w:rPr>
          <w:color w:val="000000"/>
          <w:sz w:val="28"/>
          <w:szCs w:val="28"/>
        </w:rPr>
        <w:t xml:space="preserve"> (лен, конопля и др.) требовательны к плодородию почвы, т. к. используют влагу и элементы питания из самого верхнего ее слоя; конопля хорошо усваивает </w:t>
      </w:r>
      <w:proofErr w:type="spellStart"/>
      <w:r w:rsidRPr="00F30BEE">
        <w:rPr>
          <w:color w:val="000000"/>
          <w:sz w:val="28"/>
          <w:szCs w:val="28"/>
        </w:rPr>
        <w:t>труднорастворимые</w:t>
      </w:r>
      <w:proofErr w:type="spellEnd"/>
      <w:r w:rsidRPr="00F30BEE">
        <w:rPr>
          <w:color w:val="000000"/>
          <w:sz w:val="28"/>
          <w:szCs w:val="28"/>
        </w:rPr>
        <w:t xml:space="preserve"> соединения фосфора; при оптимальной технологии возделывания удовлетворительные предшественники для колосовых и пропашных культур.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rStyle w:val="a5"/>
          <w:color w:val="000000"/>
          <w:sz w:val="28"/>
          <w:szCs w:val="28"/>
        </w:rPr>
        <w:t>Яровые колосовые и крупяные культуры сплошного сева</w:t>
      </w:r>
      <w:r w:rsidRPr="00F30BEE">
        <w:rPr>
          <w:color w:val="000000"/>
          <w:sz w:val="28"/>
          <w:szCs w:val="28"/>
        </w:rPr>
        <w:t> (пшеница, ячмень, овес, просо, гречиха) примерно в одинаковой степени выносят из почвы элементы питания, слабо ее затеняют и нередко бывают сильно засорены. Удовлетворительные предшественники для др. растений той же группы, а также для пропашных культур.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273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t xml:space="preserve">Чистые (черные и ранние) и кулисные пары хорошо сохраняют весенние и летние атмосферные осадки, обеспечивают успешную борьбу с сорняками, усиливают полезную микробиологическую деятельность почвы, </w:t>
      </w:r>
      <w:r w:rsidRPr="00F30BEE">
        <w:rPr>
          <w:color w:val="000000"/>
          <w:sz w:val="28"/>
          <w:szCs w:val="28"/>
        </w:rPr>
        <w:lastRenderedPageBreak/>
        <w:t>увеличивают запас в ней питательных веществ; отличные предшественники (особенно в засушливых и полузасушливых районах) для озимых культур; в условиях Сибири – для яровой пшеницы. Положительное последействие не менее 2-3 лет.</w:t>
      </w:r>
    </w:p>
    <w:p w:rsidR="00F30BEE" w:rsidRPr="00F30BEE" w:rsidRDefault="00F30BEE" w:rsidP="00F30B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0BEE">
        <w:rPr>
          <w:color w:val="000000"/>
          <w:sz w:val="28"/>
          <w:szCs w:val="28"/>
        </w:rPr>
        <w:t>Схемы севооборота часто приходится пересматривать, адаптируя их к изменениям в структуре почвы, содержанию в ней тех или иных питательных веществ, новым сортам, культурам и экономическим условиям.</w:t>
      </w:r>
    </w:p>
    <w:p w:rsidR="00F30BEE" w:rsidRDefault="00F30BEE"/>
    <w:sectPr w:rsidR="00F3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F30BEE"/>
    <w:rsid w:val="00F3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0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0BEE"/>
    <w:rPr>
      <w:color w:val="0000FF"/>
      <w:u w:val="single"/>
    </w:rPr>
  </w:style>
  <w:style w:type="character" w:styleId="a5">
    <w:name w:val="Strong"/>
    <w:basedOn w:val="a0"/>
    <w:uiPriority w:val="22"/>
    <w:qFormat/>
    <w:rsid w:val="00F30B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iclib.com/cgi-bin/d1.cgi?l=ru&amp;base=bse&amp;page=showid&amp;id=63726" TargetMode="External"/><Relationship Id="rId4" Type="http://schemas.openxmlformats.org/officeDocument/2006/relationships/hyperlink" Target="http://agronomic.ru/stati/sevooboroty/sevooborot-9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757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2021-10-11T04:53:00Z</dcterms:created>
  <dcterms:modified xsi:type="dcterms:W3CDTF">2021-10-11T04:57:00Z</dcterms:modified>
</cp:coreProperties>
</file>